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95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5537"/>
      </w:tblGrid>
      <w:tr w:rsidR="00C27774" w:rsidRPr="00C27774" w:rsidTr="00C27774">
        <w:trPr>
          <w:tblCellSpacing w:w="0" w:type="dxa"/>
        </w:trPr>
        <w:tc>
          <w:tcPr>
            <w:tcW w:w="20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74" w:rsidRDefault="00C27774" w:rsidP="00881A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ỦY BAN NHÂN DÂN</w:t>
            </w:r>
          </w:p>
          <w:p w:rsidR="00C27774" w:rsidRPr="00C27774" w:rsidRDefault="00C27774" w:rsidP="00881A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DEFF2D" wp14:editId="47F03318">
                      <wp:simplePos x="0" y="0"/>
                      <wp:positionH relativeFrom="column">
                        <wp:posOffset>668198</wp:posOffset>
                      </wp:positionH>
                      <wp:positionV relativeFrom="paragraph">
                        <wp:posOffset>218846</wp:posOffset>
                      </wp:positionV>
                      <wp:extent cx="862965" cy="1"/>
                      <wp:effectExtent l="0" t="0" r="1333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296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542C2F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6pt,17.25pt" to="120.5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" strokecolor="#4579b8 [3044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THÀNH </w:t>
            </w:r>
            <w:r w:rsidRPr="00C27774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PHỐ HẢI PHÒNG</w:t>
            </w:r>
          </w:p>
        </w:tc>
        <w:tc>
          <w:tcPr>
            <w:tcW w:w="29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74" w:rsidRPr="00C27774" w:rsidRDefault="00C27774" w:rsidP="00881A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</w:pPr>
            <w:r w:rsidRPr="00C27774">
              <w:rPr>
                <w:rFonts w:ascii="Times New Roman" w:eastAsia="Times New Roman" w:hAnsi="Times New Roman" w:cs="Times New Roman"/>
                <w:b/>
                <w:iCs/>
                <w:color w:val="000000"/>
                <w:sz w:val="26"/>
                <w:szCs w:val="26"/>
              </w:rPr>
              <w:t>CỘNG HÒA XÃ HỘI CHỦ NGHĨA VIỆT NAM</w:t>
            </w:r>
          </w:p>
          <w:p w:rsidR="00C27774" w:rsidRPr="00C27774" w:rsidRDefault="00C27774" w:rsidP="00881A6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E50013" wp14:editId="4040C95F">
                      <wp:simplePos x="0" y="0"/>
                      <wp:positionH relativeFrom="column">
                        <wp:posOffset>679145</wp:posOffset>
                      </wp:positionH>
                      <wp:positionV relativeFrom="paragraph">
                        <wp:posOffset>203835</wp:posOffset>
                      </wp:positionV>
                      <wp:extent cx="2106777" cy="0"/>
                      <wp:effectExtent l="0" t="0" r="2730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6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544ED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5pt,16.05pt" to="219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" strokecolor="#4579b8 [3044]"/>
                  </w:pict>
                </mc:Fallback>
              </mc:AlternateContent>
            </w:r>
            <w:r w:rsidRPr="00C27774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  <w:t>Độc lập – Tự do – Hạnh phúc</w:t>
            </w:r>
          </w:p>
        </w:tc>
      </w:tr>
      <w:tr w:rsidR="00C27774" w:rsidRPr="00C27774" w:rsidTr="00C27774">
        <w:trPr>
          <w:tblCellSpacing w:w="0" w:type="dxa"/>
        </w:trPr>
        <w:tc>
          <w:tcPr>
            <w:tcW w:w="20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74" w:rsidRPr="00C27774" w:rsidRDefault="00C27774" w:rsidP="00881A63">
            <w:pPr>
              <w:spacing w:before="120" w:after="120" w:line="234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Số: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Pr="00C2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/202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2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/QĐ-UBND</w:t>
            </w:r>
          </w:p>
        </w:tc>
        <w:tc>
          <w:tcPr>
            <w:tcW w:w="29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7774" w:rsidRPr="00C27774" w:rsidRDefault="00C27774" w:rsidP="00881A63">
            <w:pPr>
              <w:spacing w:before="120" w:after="120" w:line="234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C2777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Hải Phòng, ngày         tháng        năm 2024</w:t>
            </w:r>
          </w:p>
        </w:tc>
      </w:tr>
    </w:tbl>
    <w:p w:rsidR="00C27774" w:rsidRPr="00C27774" w:rsidRDefault="00C24019" w:rsidP="00C27774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-4801</wp:posOffset>
                </wp:positionH>
                <wp:positionV relativeFrom="paragraph">
                  <wp:posOffset>93624</wp:posOffset>
                </wp:positionV>
                <wp:extent cx="965607" cy="321869"/>
                <wp:effectExtent l="0" t="0" r="25400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607" cy="3218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019" w:rsidRPr="00C24019" w:rsidRDefault="00C24019" w:rsidP="00C2401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40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DỰ THẢO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4pt;margin-top:7.35pt;width:76.05pt;height:25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" fillcolor="white [3201]" strokeweight=".5pt">
                <v:textbox inset="1mm,1mm,1mm,1mm">
                  <w:txbxContent>
                    <w:p w:rsidR="00C24019" w:rsidRPr="00C24019" w:rsidRDefault="00C24019" w:rsidP="00C2401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2401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DỰ THẢO</w:t>
                      </w:r>
                    </w:p>
                  </w:txbxContent>
                </v:textbox>
              </v:shape>
            </w:pict>
          </mc:Fallback>
        </mc:AlternateContent>
      </w:r>
      <w:r w:rsidR="00C27774" w:rsidRPr="00C27774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C27774" w:rsidRPr="00C27774" w:rsidRDefault="00C27774" w:rsidP="00881A6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QUYẾT ĐỊNH</w:t>
      </w:r>
    </w:p>
    <w:p w:rsidR="00C27774" w:rsidRDefault="00A34DC5" w:rsidP="00881A63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7189" wp14:editId="72E16504">
                <wp:simplePos x="0" y="0"/>
                <wp:positionH relativeFrom="column">
                  <wp:posOffset>2206295</wp:posOffset>
                </wp:positionH>
                <wp:positionV relativeFrom="paragraph">
                  <wp:posOffset>265430</wp:posOffset>
                </wp:positionV>
                <wp:extent cx="1331367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13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B857C8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7pt,20.9pt" to="278.5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" strokecolor="#4579b8 [3044]"/>
            </w:pict>
          </mc:Fallback>
        </mc:AlternateContent>
      </w:r>
      <w:r w:rsidR="00C27774" w:rsidRPr="00C277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Về việc phân cấp phê duyệt kế hoạch khuyến nông hàng năm</w:t>
      </w:r>
    </w:p>
    <w:p w:rsidR="00C27774" w:rsidRPr="00C27774" w:rsidRDefault="00C27774" w:rsidP="00A34DC5">
      <w:pPr>
        <w:shd w:val="clear" w:color="auto" w:fill="FFFFFF"/>
        <w:spacing w:before="480" w:after="4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ỦY BAN NHÂN DÂN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THÀNH PHỐ HẢI PHÒNG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Luật Tổ chức chính quyền địa phương ngày 19 tháng 6 năm 2015; Luật sửa đổi, bổ sung một số Điều của Luật Tổ chức Chính phủ và Luật Tổ chức chính quyền địa phương ngày 22 tháng 11 năm 2019;</w:t>
      </w:r>
    </w:p>
    <w:p w:rsidR="00A34DC5" w:rsidRPr="00881A63" w:rsidRDefault="00C27774" w:rsidP="00A34DC5">
      <w:pPr>
        <w:spacing w:before="60" w:after="60" w:line="288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Luật Ban hành văn bản quy phạm pháp luật ngày 22 tháng 6 năm 2015;</w:t>
      </w:r>
      <w:r w:rsidR="00A34DC5" w:rsidRPr="00881A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Luật sửa đổi bổ sung một số điều của Luật ban hành văn bản quy phạm pháp luật ngày 18/6/202</w:t>
      </w:r>
      <w:r w:rsidR="00561EEB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="00A34DC5" w:rsidRPr="00881A63">
        <w:rPr>
          <w:rFonts w:ascii="Times New Roman" w:eastAsia="Times New Roman" w:hAnsi="Times New Roman" w:cs="Times New Roman"/>
          <w:i/>
          <w:iCs/>
          <w:sz w:val="28"/>
          <w:szCs w:val="28"/>
        </w:rPr>
        <w:t>;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Nghị định số </w:t>
      </w:r>
      <w:hyperlink r:id="rId6" w:tgtFrame="_blank" w:tooltip="Nghị định 83/2018/NĐ-CP" w:history="1">
        <w:r w:rsidRPr="00881A6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83/2018/NĐ-CP</w:t>
        </w:r>
      </w:hyperlink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> ngày 24 tháng 5 năm 2018 của Chính phủ về khuyến nông;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>Căn cứ Thông tư số </w:t>
      </w:r>
      <w:hyperlink r:id="rId7" w:tgtFrame="_blank" w:tooltip="Thông tư 75/2019/TT-BTC" w:history="1">
        <w:r w:rsidRPr="00881A63">
          <w:rPr>
            <w:rFonts w:ascii="Times New Roman" w:eastAsia="Times New Roman" w:hAnsi="Times New Roman" w:cs="Times New Roman"/>
            <w:i/>
            <w:iCs/>
            <w:sz w:val="28"/>
            <w:szCs w:val="28"/>
          </w:rPr>
          <w:t>75/2019/TT-BTC</w:t>
        </w:r>
      </w:hyperlink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ngày 04 tháng 11 năm 2019 của Bộ </w:t>
      </w:r>
      <w:r w:rsidR="00561EE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trưởng Bộ </w:t>
      </w: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>Tài chính quy định quản lý, sử dụng kinh phí sự nghiệp từ nguồn ngân sách nhà nước thực hiện hoạt động khuyến nông;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Theo đề nghị của Sở Nông nghiệp và Phát triển nông thôn tại Tờ trình số </w:t>
      </w:r>
      <w:r w:rsidR="00A34DC5" w:rsidRPr="00881A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</w:t>
      </w: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/TTr-SNN ngày </w:t>
      </w:r>
      <w:r w:rsidR="00A34DC5" w:rsidRPr="00881A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</w:t>
      </w:r>
      <w:r w:rsidR="00AB4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</w:t>
      </w:r>
      <w:r w:rsidR="00A34DC5" w:rsidRPr="00881A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tháng </w:t>
      </w:r>
      <w:r w:rsidR="00AB47A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A34DC5" w:rsidRPr="00881A6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</w:t>
      </w:r>
      <w:r w:rsidRPr="00C2777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năm 202</w:t>
      </w:r>
      <w:r w:rsidR="00A34DC5" w:rsidRPr="00881A63">
        <w:rPr>
          <w:rFonts w:ascii="Times New Roman" w:eastAsia="Times New Roman" w:hAnsi="Times New Roman" w:cs="Times New Roman"/>
          <w:i/>
          <w:iCs/>
          <w:sz w:val="28"/>
          <w:szCs w:val="28"/>
        </w:rPr>
        <w:t>4</w:t>
      </w:r>
      <w:r w:rsidR="00E30335" w:rsidRPr="00E30335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</w:rPr>
        <w:t>.</w:t>
      </w:r>
    </w:p>
    <w:p w:rsidR="00C27774" w:rsidRPr="00C27774" w:rsidRDefault="00C27774" w:rsidP="00C27774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b/>
          <w:bCs/>
          <w:sz w:val="28"/>
          <w:szCs w:val="28"/>
        </w:rPr>
        <w:t>QUYẾT ĐỊNH: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b/>
          <w:bCs/>
          <w:sz w:val="28"/>
          <w:szCs w:val="28"/>
        </w:rPr>
        <w:t>Điều 1. 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>Phân cấp cho Sở Nông nghiệp và Phát triển nông thôn</w:t>
      </w:r>
      <w:r w:rsidR="00A34DC5" w:rsidRPr="0088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phê duyệt Kế hoạch khuyến nông </w:t>
      </w:r>
      <w:r w:rsidR="00A34DC5" w:rsidRPr="00881A63">
        <w:rPr>
          <w:rFonts w:ascii="Times New Roman" w:eastAsia="Times New Roman" w:hAnsi="Times New Roman" w:cs="Times New Roman"/>
          <w:sz w:val="28"/>
          <w:szCs w:val="28"/>
        </w:rPr>
        <w:t>hàng năm</w:t>
      </w:r>
      <w:r w:rsidR="002572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 Cụ thể: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sz w:val="28"/>
          <w:szCs w:val="28"/>
        </w:rPr>
        <w:t>H</w:t>
      </w:r>
      <w:r w:rsidR="00881A63">
        <w:rPr>
          <w:rFonts w:ascii="Times New Roman" w:eastAsia="Times New Roman" w:hAnsi="Times New Roman" w:cs="Times New Roman"/>
          <w:sz w:val="28"/>
          <w:szCs w:val="28"/>
        </w:rPr>
        <w:t>à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ng năm, căn cứ Chương trình khuyến nông đã được Ủy ban nhân dân </w:t>
      </w:r>
      <w:r w:rsidR="00A34DC5" w:rsidRPr="00881A63">
        <w:rPr>
          <w:rFonts w:ascii="Times New Roman" w:eastAsia="Times New Roman" w:hAnsi="Times New Roman" w:cs="Times New Roman"/>
          <w:sz w:val="28"/>
          <w:szCs w:val="28"/>
        </w:rPr>
        <w:t>thành phố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 phê duyệt Sở Nông nghiệp và Phát triển nông thôn</w:t>
      </w:r>
      <w:r w:rsidR="00A34DC5" w:rsidRPr="0088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phê duyệt Kế hoạch khuyến nông </w:t>
      </w:r>
      <w:r w:rsidR="00FF7ACF">
        <w:rPr>
          <w:rFonts w:ascii="Times New Roman" w:eastAsia="Times New Roman" w:hAnsi="Times New Roman" w:cs="Times New Roman"/>
          <w:sz w:val="28"/>
          <w:szCs w:val="28"/>
        </w:rPr>
        <w:t>và chỉ đạo tổ chức thực hiện.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b/>
          <w:bCs/>
          <w:sz w:val="28"/>
          <w:szCs w:val="28"/>
        </w:rPr>
        <w:t>Điều 2. 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Quyết định này có hiệu lực kể từ ngày </w:t>
      </w:r>
      <w:r w:rsidR="00881A63" w:rsidRPr="0088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1E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A63" w:rsidRPr="00881A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 tháng </w:t>
      </w:r>
      <w:r w:rsidR="00881A63" w:rsidRPr="00881A6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B47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A63" w:rsidRPr="00881A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 năm 202</w:t>
      </w:r>
      <w:r w:rsidR="00881A63" w:rsidRPr="00881A6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7774" w:rsidRPr="00C27774" w:rsidRDefault="00C27774" w:rsidP="00A34DC5">
      <w:pPr>
        <w:shd w:val="clear" w:color="auto" w:fill="FFFFFF"/>
        <w:spacing w:before="60"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774">
        <w:rPr>
          <w:rFonts w:ascii="Times New Roman" w:eastAsia="Times New Roman" w:hAnsi="Times New Roman" w:cs="Times New Roman"/>
          <w:b/>
          <w:bCs/>
          <w:sz w:val="28"/>
          <w:szCs w:val="28"/>
        </w:rPr>
        <w:t>Điều 3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. Chánh Văn phòng Ủy ban nhân dân </w:t>
      </w:r>
      <w:r w:rsidR="00386AAB">
        <w:rPr>
          <w:rFonts w:ascii="Times New Roman" w:eastAsia="Times New Roman" w:hAnsi="Times New Roman" w:cs="Times New Roman"/>
          <w:sz w:val="28"/>
          <w:szCs w:val="28"/>
        </w:rPr>
        <w:t>thành phố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; Giám đốc các Sở: Nội vụ, Nông nghiệp và Phát triển nông thôn, Tài chính, Tư pháp; Chủ tịch Ủy ban nhân dân các huyện, </w:t>
      </w:r>
      <w:r w:rsidR="00881A63" w:rsidRPr="00881A63">
        <w:rPr>
          <w:rFonts w:ascii="Times New Roman" w:eastAsia="Times New Roman" w:hAnsi="Times New Roman" w:cs="Times New Roman"/>
          <w:sz w:val="28"/>
          <w:szCs w:val="28"/>
        </w:rPr>
        <w:t>quận</w:t>
      </w:r>
      <w:r w:rsidRPr="00C27774">
        <w:rPr>
          <w:rFonts w:ascii="Times New Roman" w:eastAsia="Times New Roman" w:hAnsi="Times New Roman" w:cs="Times New Roman"/>
          <w:sz w:val="28"/>
          <w:szCs w:val="28"/>
        </w:rPr>
        <w:t xml:space="preserve"> và Thủ trưởng các cơ quan, đơn vị có liên quan chịu trách nhiệm thi hành Quyết định này./.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948"/>
      </w:tblGrid>
      <w:tr w:rsidR="00C27774" w:rsidRPr="00C27774" w:rsidTr="00C27774">
        <w:trPr>
          <w:tblCellSpacing w:w="0" w:type="dxa"/>
        </w:trPr>
        <w:tc>
          <w:tcPr>
            <w:tcW w:w="49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7774" w:rsidRPr="00C27774" w:rsidRDefault="00C27774" w:rsidP="00881A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27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Nơi nhận:</w:t>
            </w:r>
            <w:r w:rsidRPr="00C2777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- Như điều 3;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>- Văn phòng Chính phủ (B/c);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>- Bộ Tư pháp (Cục Kiểm tra VBQPPL);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Bộ Tài chính (B/c);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>- Bộ Nông nghiệp và PTNT (B/c);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Thường trực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 xml:space="preserve">Thành 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ủy (B/c);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Thường trực HĐND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thành phố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 xml:space="preserve"> (B/c);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Đoàn Đại biểu Quốc hội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thành phố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Ủy ban MTTQ Việt Nam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thành phố;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br/>
              <w:t>- Chủ tịch, các PCT UBND thành phố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>- Các sở, ban ngành, đơn vị thuộc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 xml:space="preserve"> thành phố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Thường trực HĐND, UBND các huyện,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quận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Báo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Hải Phòng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Đài Phát thanh và Truyền hình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Hải Phòng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>- Công báo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 xml:space="preserve"> thành phố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: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Văn phòng UBND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thành phố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: CVP, PVPNNTN;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Chi cục Văn Thư - Lưu trữ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thành phố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t>;</w:t>
            </w:r>
            <w:r w:rsidRPr="00C27774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- Cổng thông tin điện tử 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t>thành phố;</w:t>
            </w:r>
            <w:r w:rsidR="00881A63">
              <w:rPr>
                <w:rFonts w:ascii="Times New Roman" w:eastAsia="Times New Roman" w:hAnsi="Times New Roman" w:cs="Times New Roman"/>
                <w:color w:val="000000"/>
              </w:rPr>
              <w:br/>
              <w:t>- Lưu: VT.</w:t>
            </w:r>
          </w:p>
        </w:tc>
        <w:tc>
          <w:tcPr>
            <w:tcW w:w="39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1A63" w:rsidRDefault="00C27774" w:rsidP="008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TM. ỦY BAN NHÂN DÂN</w:t>
            </w:r>
            <w:r w:rsidRPr="00C2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  <w:t>CHỦ TỊCH</w:t>
            </w:r>
            <w:r w:rsidRPr="00C2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2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2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br/>
            </w:r>
          </w:p>
          <w:p w:rsidR="00881A63" w:rsidRDefault="00881A63" w:rsidP="008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27774" w:rsidRPr="00C27774" w:rsidRDefault="00C27774" w:rsidP="00881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777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C277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81A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Nguyễn Văn Tùng</w:t>
            </w:r>
          </w:p>
        </w:tc>
      </w:tr>
    </w:tbl>
    <w:p w:rsidR="00A72381" w:rsidRDefault="00A72381"/>
    <w:sectPr w:rsidR="00A72381" w:rsidSect="005B4EFF">
      <w:headerReference w:type="default" r:id="rId8"/>
      <w:pgSz w:w="11907" w:h="16840" w:code="9"/>
      <w:pgMar w:top="1134" w:right="1134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C1B" w:rsidRDefault="00455C1B" w:rsidP="00561EEB">
      <w:pPr>
        <w:spacing w:after="0" w:line="240" w:lineRule="auto"/>
      </w:pPr>
      <w:r>
        <w:separator/>
      </w:r>
    </w:p>
  </w:endnote>
  <w:endnote w:type="continuationSeparator" w:id="0">
    <w:p w:rsidR="00455C1B" w:rsidRDefault="00455C1B" w:rsidP="00561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C1B" w:rsidRDefault="00455C1B" w:rsidP="00561EEB">
      <w:pPr>
        <w:spacing w:after="0" w:line="240" w:lineRule="auto"/>
      </w:pPr>
      <w:r>
        <w:separator/>
      </w:r>
    </w:p>
  </w:footnote>
  <w:footnote w:type="continuationSeparator" w:id="0">
    <w:p w:rsidR="00455C1B" w:rsidRDefault="00455C1B" w:rsidP="00561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98150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:rsidR="00561EEB" w:rsidRPr="00561EEB" w:rsidRDefault="00561EEB">
        <w:pPr>
          <w:pStyle w:val="Head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561EEB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561EEB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561EEB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892712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561EEB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561EEB" w:rsidRDefault="00561E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774"/>
    <w:rsid w:val="00002A0D"/>
    <w:rsid w:val="000E76F9"/>
    <w:rsid w:val="00103AA8"/>
    <w:rsid w:val="002572BF"/>
    <w:rsid w:val="00386AAB"/>
    <w:rsid w:val="003D1AC5"/>
    <w:rsid w:val="00444880"/>
    <w:rsid w:val="00455C1B"/>
    <w:rsid w:val="00561EEB"/>
    <w:rsid w:val="005B4EFF"/>
    <w:rsid w:val="00621B8B"/>
    <w:rsid w:val="006F012D"/>
    <w:rsid w:val="00733350"/>
    <w:rsid w:val="007D60CE"/>
    <w:rsid w:val="00852E5C"/>
    <w:rsid w:val="00881A63"/>
    <w:rsid w:val="00892712"/>
    <w:rsid w:val="009319CE"/>
    <w:rsid w:val="00970C59"/>
    <w:rsid w:val="00A34DC5"/>
    <w:rsid w:val="00A72381"/>
    <w:rsid w:val="00AB47AD"/>
    <w:rsid w:val="00B05BCF"/>
    <w:rsid w:val="00C24019"/>
    <w:rsid w:val="00C27774"/>
    <w:rsid w:val="00C807E8"/>
    <w:rsid w:val="00E30335"/>
    <w:rsid w:val="00E31F33"/>
    <w:rsid w:val="00E412D7"/>
    <w:rsid w:val="00E91A90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12FC90-44F4-4531-BEAE-810EC0DF1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880"/>
  </w:style>
  <w:style w:type="paragraph" w:styleId="Heading1">
    <w:name w:val="heading 1"/>
    <w:basedOn w:val="Normal"/>
    <w:next w:val="Normal"/>
    <w:link w:val="Heading1Char"/>
    <w:uiPriority w:val="9"/>
    <w:qFormat/>
    <w:rsid w:val="004448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44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8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4488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444880"/>
    <w:rPr>
      <w:b/>
      <w:bCs/>
    </w:rPr>
  </w:style>
  <w:style w:type="character" w:styleId="Emphasis">
    <w:name w:val="Emphasis"/>
    <w:basedOn w:val="DefaultParagraphFont"/>
    <w:uiPriority w:val="20"/>
    <w:qFormat/>
    <w:rsid w:val="00444880"/>
    <w:rPr>
      <w:i/>
      <w:iCs/>
    </w:rPr>
  </w:style>
  <w:style w:type="paragraph" w:styleId="NoSpacing">
    <w:name w:val="No Spacing"/>
    <w:uiPriority w:val="1"/>
    <w:qFormat/>
    <w:rsid w:val="00444880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C2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277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EB"/>
  </w:style>
  <w:style w:type="paragraph" w:styleId="Footer">
    <w:name w:val="footer"/>
    <w:basedOn w:val="Normal"/>
    <w:link w:val="FooterChar"/>
    <w:uiPriority w:val="99"/>
    <w:unhideWhenUsed/>
    <w:rsid w:val="00561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huvienphapluat.vn/van-ban/tai-chinh-nha-nuoc/thong-tu-75-2019-tt-btc-su-dung-kinh-phi-su-nghiep-tu-nguon-ngan-sach-thuc-hien-khuyen-nong-427799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uvienphapluat.vn/van-ban/linh-vuc-khac/nghi-dinh-83-2018-nd-cp-hoat-dong-khuyen-nong-382798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2024-03-23T07:30:00Z</dcterms:created>
  <dcterms:modified xsi:type="dcterms:W3CDTF">2024-03-23T07:30:00Z</dcterms:modified>
</cp:coreProperties>
</file>